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center"/>
        <w:rPr>
          <w:rFonts w:hint="eastAsia" w:ascii="仿宋" w:hAnsi="仿宋" w:eastAsia="仿宋" w:cs="仿宋"/>
          <w:b/>
          <w:bCs/>
          <w:color w:val="000000"/>
          <w:kern w:val="0"/>
          <w:sz w:val="24"/>
          <w:szCs w:val="24"/>
        </w:rPr>
      </w:pPr>
      <w:bookmarkStart w:id="1" w:name="_GoBack"/>
      <w:bookmarkStart w:id="0" w:name="_Toc19338"/>
      <w:r>
        <w:rPr>
          <w:rFonts w:hint="eastAsia" w:ascii="仿宋" w:hAnsi="仿宋" w:eastAsia="仿宋" w:cs="仿宋"/>
          <w:b/>
          <w:bCs/>
          <w:color w:val="000000"/>
          <w:kern w:val="0"/>
          <w:sz w:val="24"/>
          <w:szCs w:val="24"/>
        </w:rPr>
        <w:t>德昌县</w:t>
      </w:r>
      <w:r>
        <w:rPr>
          <w:rFonts w:hint="eastAsia" w:ascii="仿宋" w:hAnsi="仿宋" w:eastAsia="仿宋" w:cs="仿宋"/>
          <w:b/>
          <w:bCs/>
          <w:color w:val="000000"/>
          <w:kern w:val="0"/>
          <w:sz w:val="24"/>
          <w:szCs w:val="24"/>
        </w:rPr>
        <w:t>德州街道第二社区卫生服务中心</w:t>
      </w:r>
      <w:r>
        <w:rPr>
          <w:rFonts w:hint="eastAsia" w:ascii="仿宋" w:hAnsi="仿宋" w:eastAsia="仿宋" w:cs="仿宋"/>
          <w:b/>
          <w:bCs/>
          <w:color w:val="000000"/>
          <w:kern w:val="0"/>
          <w:sz w:val="24"/>
          <w:szCs w:val="24"/>
          <w:lang w:eastAsia="zh-CN"/>
        </w:rPr>
        <w:t>医用新电梯采购项目技术配置要求</w:t>
      </w:r>
    </w:p>
    <w:bookmarkEnd w:id="1"/>
    <w:tbl>
      <w:tblPr>
        <w:tblStyle w:val="10"/>
        <w:tblW w:w="930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4"/>
        <w:gridCol w:w="1531"/>
        <w:gridCol w:w="5430"/>
        <w:gridCol w:w="870"/>
        <w:gridCol w:w="8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14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53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产品名称</w:t>
            </w:r>
          </w:p>
        </w:tc>
        <w:tc>
          <w:tcPr>
            <w:tcW w:w="5430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配置参数</w:t>
            </w:r>
          </w:p>
        </w:tc>
        <w:tc>
          <w:tcPr>
            <w:tcW w:w="870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数量</w:t>
            </w:r>
          </w:p>
        </w:tc>
        <w:tc>
          <w:tcPr>
            <w:tcW w:w="863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14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  <w:p>
            <w:pPr>
              <w:widowControl/>
              <w:jc w:val="center"/>
              <w:rPr>
                <w:rFonts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仿宋"/>
                <w:kern w:val="0"/>
                <w:sz w:val="24"/>
                <w:szCs w:val="24"/>
              </w:rPr>
              <w:t>1</w:t>
            </w:r>
          </w:p>
        </w:tc>
        <w:tc>
          <w:tcPr>
            <w:tcW w:w="153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医用电梯</w:t>
            </w:r>
          </w:p>
        </w:tc>
        <w:tc>
          <w:tcPr>
            <w:tcW w:w="5430" w:type="dxa"/>
            <w:vAlign w:val="center"/>
          </w:tcPr>
          <w:p>
            <w:pPr>
              <w:widowControl/>
              <w:numPr>
                <w:ilvl w:val="0"/>
                <w:numId w:val="2"/>
              </w:numPr>
              <w:jc w:val="left"/>
              <w:rPr>
                <w:rFonts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技术规格</w:t>
            </w:r>
          </w:p>
          <w:p>
            <w:pPr>
              <w:widowControl/>
              <w:numPr>
                <w:ilvl w:val="0"/>
                <w:numId w:val="3"/>
              </w:numPr>
              <w:jc w:val="left"/>
              <w:rPr>
                <w:rFonts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控制系统：32位全电脑智能化数据网络系统</w:t>
            </w:r>
          </w:p>
          <w:p>
            <w:pPr>
              <w:widowControl/>
              <w:numPr>
                <w:ilvl w:val="0"/>
                <w:numId w:val="3"/>
              </w:numPr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kern w:val="0"/>
                <w:sz w:val="24"/>
                <w:szCs w:val="24"/>
              </w:rPr>
              <w:t>操作系统：单台控制</w:t>
            </w:r>
          </w:p>
          <w:p>
            <w:pPr>
              <w:widowControl/>
              <w:numPr>
                <w:ilvl w:val="0"/>
                <w:numId w:val="3"/>
              </w:numPr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kern w:val="0"/>
                <w:sz w:val="24"/>
                <w:szCs w:val="24"/>
              </w:rPr>
              <w:t>拖动系统：矢量变频变压调速拖动系统，永磁同步无齿轮曳引机</w:t>
            </w:r>
          </w:p>
          <w:p>
            <w:pPr>
              <w:widowControl/>
              <w:numPr>
                <w:ilvl w:val="0"/>
                <w:numId w:val="3"/>
              </w:numPr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kern w:val="0"/>
                <w:sz w:val="24"/>
                <w:szCs w:val="24"/>
              </w:rPr>
              <w:t>主机及门机驱动方式：VVVF交流变频变压调速</w:t>
            </w:r>
          </w:p>
          <w:p>
            <w:pPr>
              <w:widowControl/>
              <w:numPr>
                <w:ilvl w:val="0"/>
                <w:numId w:val="3"/>
              </w:numPr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kern w:val="0"/>
                <w:sz w:val="24"/>
                <w:szCs w:val="24"/>
              </w:rPr>
              <w:t>额定载重： 1600KG</w:t>
            </w:r>
          </w:p>
          <w:p>
            <w:pPr>
              <w:widowControl/>
              <w:numPr>
                <w:ilvl w:val="0"/>
                <w:numId w:val="3"/>
              </w:numPr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kern w:val="0"/>
                <w:sz w:val="24"/>
                <w:szCs w:val="24"/>
              </w:rPr>
              <w:t>额定速度： 1.5m/s</w:t>
            </w:r>
          </w:p>
          <w:p>
            <w:pPr>
              <w:widowControl/>
              <w:numPr>
                <w:ilvl w:val="0"/>
                <w:numId w:val="3"/>
              </w:numPr>
              <w:jc w:val="left"/>
            </w:pPr>
            <w:r>
              <w:rPr>
                <w:rFonts w:ascii="仿宋" w:hAnsi="仿宋" w:eastAsia="仿宋"/>
                <w:kern w:val="0"/>
                <w:sz w:val="24"/>
                <w:szCs w:val="24"/>
              </w:rPr>
              <w:t>停站层数及次序：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/>
                <w:color w:val="000000"/>
                <w:sz w:val="24"/>
              </w:rPr>
              <w:t>。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8.出入口设计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8.1开门尺寸： 1200mm*2100mm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8.2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>材质： 发纹不锈钢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8.3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>出入口门：  1个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8.4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>出入口指示器材质： 发纹不锈钢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8.5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>出入口设置：1F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9.轿厢设计：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9.1轿厢壁材质： 发纹不锈钢；轿厢门： 发纹不锈钢；轿厢地面： PVC；轿厢顶： 不锈钢+亚克力材质；轿厢操作盘：一体式操作箱</w:t>
            </w:r>
          </w:p>
          <w:p>
            <w:pPr>
              <w:widowControl/>
              <w:numPr>
                <w:ilvl w:val="0"/>
                <w:numId w:val="4"/>
              </w:numPr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数字型楼层显示器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（2）上升与下降方向指示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（3）隐蔽式对讲机（含五方对讲系统，通话距离按均长200米计算）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（4）标示：标配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（5）一个以钥匙操作的开关箱内有停止开关、照明开关、风扇开关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（6）操作盘面板上端附加“禁烟”两字或以图形表示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 xml:space="preserve">（7）按钮：盲文按钮 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（8）面板材质： 发纹不锈钢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（9）超载报警、灯光信号及警铃信号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（10）服务专用控制板（停梯、转换运行方式、维修）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10.电源规格：动力电源： 380V；电压差：±5V；照明电源： 220V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11.建筑要求：井道尺寸：2200mm*2900mm；机坑深度：1600mm；顶层高度：4500mm</w:t>
            </w:r>
            <w:r>
              <w:rPr>
                <w:rFonts w:hint="eastAsia" w:ascii="仿宋" w:hAnsi="仿宋" w:eastAsia="仿宋"/>
                <w:b/>
                <w:bCs/>
                <w:kern w:val="0"/>
                <w:sz w:val="24"/>
                <w:szCs w:val="24"/>
              </w:rPr>
              <w:t>（上述尺寸仅供参考，具体安装以实地现场测量尺寸为准）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12.具体功能要求：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（1）全集选功能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（2）超载不启动（即超载、超速保护及报警）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（3）各楼层位置显示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（4）自动熄灯和关闭风扇功能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（5）防止嬉戏功能（即防捣乱功能）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（6）开关门受阻保护装置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（7）紧急报警及应急照明功能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（8）安全门锁装置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（9）误登录取消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（10）双侧安全门档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（11）自动控制厢门开闭时间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（12）安全运转系统(电梯因异常状况停于非门区,以慢速行至最近阶停靠)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（13）预开门功能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（14）满载不停梯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（15）对讲机通讯功能</w:t>
            </w:r>
          </w:p>
          <w:p>
            <w:pPr>
              <w:pStyle w:val="14"/>
            </w:pPr>
            <w:r>
              <w:rPr>
                <w:rFonts w:hint="eastAsia"/>
              </w:rPr>
              <w:t>（16）</w:t>
            </w:r>
            <w:r>
              <w:rPr>
                <w:rFonts w:ascii="仿宋" w:hAnsi="仿宋" w:eastAsia="仿宋" w:cs="Times New Roman"/>
                <w:color w:val="auto"/>
              </w:rPr>
              <w:t>再平层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（17）电梯运行状态显示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（18）失速保护、电源故障保护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（19）轿厢呼叫反转取消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（20）停电在非门取报警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（21）停机操作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（22）警铃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（23）过低速保护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（24）逆行保护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（25）过电流保护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（26）过电压保护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（27）五方通话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（28）自动返回基站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（29）电梯内监控功能</w:t>
            </w:r>
            <w:r>
              <w:rPr>
                <w:rFonts w:hint="eastAsia" w:ascii="仿宋" w:hAnsi="仿宋" w:eastAsia="仿宋"/>
                <w:b/>
                <w:bCs/>
                <w:kern w:val="0"/>
                <w:sz w:val="24"/>
                <w:szCs w:val="24"/>
              </w:rPr>
              <w:t>（预留监控位置，视频监控线路接至机房）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（30）有、无司机操作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（31）紧急备用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（32）信息功能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（33）门故障时重复关门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（34）门防夹保护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（35）超速保护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（36）留有视频及远程监控接口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（37）轿厢消防员服务</w:t>
            </w:r>
          </w:p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（38）消防联动</w:t>
            </w:r>
          </w:p>
          <w:p>
            <w:pPr>
              <w:pStyle w:val="14"/>
            </w:pPr>
            <w:r>
              <w:rPr>
                <w:rFonts w:hint="eastAsia" w:ascii="仿宋" w:hAnsi="仿宋" w:eastAsia="仿宋"/>
              </w:rPr>
              <w:t>13.电梯性能指标</w:t>
            </w:r>
          </w:p>
          <w:tbl>
            <w:tblPr>
              <w:tblStyle w:val="10"/>
              <w:tblW w:w="4925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62"/>
              <w:gridCol w:w="3288"/>
              <w:gridCol w:w="97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3" w:hRule="atLeast"/>
              </w:trPr>
              <w:tc>
                <w:tcPr>
                  <w:tcW w:w="662" w:type="dxa"/>
                  <w:vAlign w:val="center"/>
                </w:tcPr>
                <w:p>
                  <w:pPr>
                    <w:adjustRightInd w:val="0"/>
                    <w:snapToGrid w:val="0"/>
                    <w:spacing w:line="360" w:lineRule="auto"/>
                    <w:jc w:val="center"/>
                    <w:rPr>
                      <w:rFonts w:ascii="仿宋" w:hAnsi="仿宋" w:eastAsia="仿宋" w:cs="仿宋"/>
                      <w:sz w:val="24"/>
                      <w:szCs w:val="24"/>
                      <w:lang w:val="zh-CN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zh-CN"/>
                    </w:rPr>
                    <w:t>序号</w:t>
                  </w:r>
                </w:p>
              </w:tc>
              <w:tc>
                <w:tcPr>
                  <w:tcW w:w="3288" w:type="dxa"/>
                  <w:vAlign w:val="center"/>
                </w:tcPr>
                <w:p>
                  <w:pPr>
                    <w:adjustRightInd w:val="0"/>
                    <w:snapToGrid w:val="0"/>
                    <w:spacing w:line="360" w:lineRule="auto"/>
                    <w:jc w:val="center"/>
                    <w:rPr>
                      <w:rFonts w:ascii="仿宋" w:hAnsi="仿宋" w:eastAsia="仿宋" w:cs="仿宋"/>
                      <w:sz w:val="24"/>
                      <w:szCs w:val="24"/>
                      <w:lang w:val="zh-CN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zh-CN"/>
                    </w:rPr>
                    <w:t>内   容</w:t>
                  </w:r>
                </w:p>
              </w:tc>
              <w:tc>
                <w:tcPr>
                  <w:tcW w:w="975" w:type="dxa"/>
                  <w:vAlign w:val="center"/>
                </w:tcPr>
                <w:p>
                  <w:pPr>
                    <w:adjustRightInd w:val="0"/>
                    <w:snapToGrid w:val="0"/>
                    <w:spacing w:line="360" w:lineRule="auto"/>
                    <w:jc w:val="center"/>
                    <w:rPr>
                      <w:rFonts w:ascii="仿宋" w:hAnsi="仿宋" w:eastAsia="仿宋" w:cs="仿宋"/>
                      <w:sz w:val="24"/>
                      <w:szCs w:val="24"/>
                      <w:lang w:val="zh-CN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zh-CN"/>
                    </w:rPr>
                    <w:t>指  标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3" w:hRule="atLeast"/>
              </w:trPr>
              <w:tc>
                <w:tcPr>
                  <w:tcW w:w="662" w:type="dxa"/>
                  <w:vAlign w:val="center"/>
                </w:tcPr>
                <w:p>
                  <w:pPr>
                    <w:adjustRightInd w:val="0"/>
                    <w:snapToGrid w:val="0"/>
                    <w:spacing w:line="360" w:lineRule="auto"/>
                    <w:jc w:val="center"/>
                    <w:rPr>
                      <w:rFonts w:ascii="仿宋" w:hAnsi="仿宋" w:eastAsia="仿宋" w:cs="仿宋"/>
                      <w:sz w:val="24"/>
                      <w:szCs w:val="24"/>
                      <w:lang w:val="zh-CN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zh-CN"/>
                    </w:rPr>
                    <w:t>1</w:t>
                  </w:r>
                </w:p>
              </w:tc>
              <w:tc>
                <w:tcPr>
                  <w:tcW w:w="3288" w:type="dxa"/>
                  <w:vAlign w:val="center"/>
                </w:tcPr>
                <w:p>
                  <w:pPr>
                    <w:adjustRightInd w:val="0"/>
                    <w:snapToGrid w:val="0"/>
                    <w:spacing w:line="360" w:lineRule="auto"/>
                    <w:jc w:val="center"/>
                    <w:rPr>
                      <w:rFonts w:ascii="仿宋" w:hAnsi="仿宋" w:eastAsia="仿宋" w:cs="仿宋"/>
                      <w:sz w:val="24"/>
                      <w:szCs w:val="24"/>
                      <w:lang w:val="zh-CN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zh-CN"/>
                    </w:rPr>
                    <w:t>平层精度（mm）</w:t>
                  </w:r>
                </w:p>
              </w:tc>
              <w:tc>
                <w:tcPr>
                  <w:tcW w:w="975" w:type="dxa"/>
                  <w:vAlign w:val="center"/>
                </w:tcPr>
                <w:p>
                  <w:pPr>
                    <w:adjustRightInd w:val="0"/>
                    <w:snapToGrid w:val="0"/>
                    <w:spacing w:line="360" w:lineRule="auto"/>
                    <w:jc w:val="center"/>
                    <w:rPr>
                      <w:rFonts w:ascii="仿宋" w:hAnsi="仿宋" w:eastAsia="仿宋" w:cs="仿宋"/>
                      <w:sz w:val="24"/>
                      <w:szCs w:val="24"/>
                      <w:lang w:val="zh-CN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zh-CN"/>
                    </w:rPr>
                    <w:t>±5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3" w:hRule="atLeast"/>
              </w:trPr>
              <w:tc>
                <w:tcPr>
                  <w:tcW w:w="662" w:type="dxa"/>
                  <w:vAlign w:val="center"/>
                </w:tcPr>
                <w:p>
                  <w:pPr>
                    <w:adjustRightInd w:val="0"/>
                    <w:snapToGrid w:val="0"/>
                    <w:spacing w:line="360" w:lineRule="auto"/>
                    <w:jc w:val="center"/>
                    <w:rPr>
                      <w:rFonts w:ascii="仿宋" w:hAnsi="仿宋" w:eastAsia="仿宋" w:cs="仿宋"/>
                      <w:sz w:val="24"/>
                      <w:szCs w:val="24"/>
                      <w:lang w:val="zh-CN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zh-CN"/>
                    </w:rPr>
                    <w:t>2</w:t>
                  </w:r>
                </w:p>
              </w:tc>
              <w:tc>
                <w:tcPr>
                  <w:tcW w:w="3288" w:type="dxa"/>
                  <w:vAlign w:val="center"/>
                </w:tcPr>
                <w:p>
                  <w:pPr>
                    <w:pStyle w:val="15"/>
                    <w:adjustRightInd w:val="0"/>
                    <w:snapToGrid w:val="0"/>
                    <w:spacing w:line="360" w:lineRule="auto"/>
                    <w:jc w:val="center"/>
                    <w:rPr>
                      <w:rFonts w:ascii="仿宋" w:hAnsi="仿宋" w:eastAsia="仿宋" w:cs="仿宋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zh-CN"/>
                    </w:rPr>
                    <w:t>机房噪音</w:t>
                  </w:r>
                  <w:r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  <w:t>[</w:t>
                  </w: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zh-CN"/>
                    </w:rPr>
                    <w:t>d</w:t>
                  </w:r>
                  <w:r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  <w:t>B(A)]</w:t>
                  </w:r>
                </w:p>
              </w:tc>
              <w:tc>
                <w:tcPr>
                  <w:tcW w:w="975" w:type="dxa"/>
                  <w:vAlign w:val="center"/>
                </w:tcPr>
                <w:p>
                  <w:pPr>
                    <w:adjustRightInd w:val="0"/>
                    <w:snapToGrid w:val="0"/>
                    <w:spacing w:line="360" w:lineRule="auto"/>
                    <w:jc w:val="center"/>
                    <w:rPr>
                      <w:rFonts w:ascii="仿宋" w:hAnsi="仿宋" w:eastAsia="仿宋" w:cs="仿宋"/>
                      <w:sz w:val="24"/>
                      <w:szCs w:val="24"/>
                      <w:lang w:val="zh-CN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zh-CN"/>
                    </w:rPr>
                    <w:t>≤80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3" w:hRule="atLeast"/>
              </w:trPr>
              <w:tc>
                <w:tcPr>
                  <w:tcW w:w="662" w:type="dxa"/>
                  <w:vAlign w:val="center"/>
                </w:tcPr>
                <w:p>
                  <w:pPr>
                    <w:adjustRightInd w:val="0"/>
                    <w:snapToGrid w:val="0"/>
                    <w:spacing w:line="360" w:lineRule="auto"/>
                    <w:jc w:val="center"/>
                    <w:rPr>
                      <w:rFonts w:ascii="仿宋" w:hAnsi="仿宋" w:eastAsia="仿宋" w:cs="仿宋"/>
                      <w:sz w:val="24"/>
                      <w:szCs w:val="24"/>
                      <w:lang w:val="zh-CN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zh-CN"/>
                    </w:rPr>
                    <w:t>3</w:t>
                  </w:r>
                </w:p>
              </w:tc>
              <w:tc>
                <w:tcPr>
                  <w:tcW w:w="3288" w:type="dxa"/>
                  <w:vAlign w:val="center"/>
                </w:tcPr>
                <w:p>
                  <w:pPr>
                    <w:adjustRightInd w:val="0"/>
                    <w:snapToGrid w:val="0"/>
                    <w:spacing w:line="360" w:lineRule="auto"/>
                    <w:jc w:val="center"/>
                    <w:rPr>
                      <w:rFonts w:ascii="仿宋" w:hAnsi="仿宋" w:eastAsia="仿宋" w:cs="仿宋"/>
                      <w:sz w:val="24"/>
                      <w:szCs w:val="24"/>
                      <w:lang w:val="zh-CN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zh-CN"/>
                    </w:rPr>
                    <w:t>运行中轿厢噪音</w:t>
                  </w:r>
                  <w:r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  <w:t>[</w:t>
                  </w: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zh-CN"/>
                    </w:rPr>
                    <w:t>d</w:t>
                  </w:r>
                  <w:r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  <w:t>B(A)]</w:t>
                  </w:r>
                </w:p>
              </w:tc>
              <w:tc>
                <w:tcPr>
                  <w:tcW w:w="975" w:type="dxa"/>
                  <w:vAlign w:val="center"/>
                </w:tcPr>
                <w:p>
                  <w:pPr>
                    <w:adjustRightInd w:val="0"/>
                    <w:snapToGrid w:val="0"/>
                    <w:spacing w:line="360" w:lineRule="auto"/>
                    <w:jc w:val="center"/>
                    <w:rPr>
                      <w:rFonts w:ascii="仿宋" w:hAnsi="仿宋" w:eastAsia="仿宋" w:cs="仿宋"/>
                      <w:sz w:val="24"/>
                      <w:szCs w:val="24"/>
                      <w:lang w:val="zh-CN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zh-CN"/>
                    </w:rPr>
                    <w:t>≤45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3" w:hRule="atLeast"/>
              </w:trPr>
              <w:tc>
                <w:tcPr>
                  <w:tcW w:w="662" w:type="dxa"/>
                  <w:vAlign w:val="center"/>
                </w:tcPr>
                <w:p>
                  <w:pPr>
                    <w:adjustRightInd w:val="0"/>
                    <w:snapToGrid w:val="0"/>
                    <w:spacing w:line="360" w:lineRule="auto"/>
                    <w:jc w:val="center"/>
                    <w:rPr>
                      <w:rFonts w:ascii="仿宋" w:hAnsi="仿宋" w:eastAsia="仿宋" w:cs="仿宋"/>
                      <w:sz w:val="24"/>
                      <w:szCs w:val="24"/>
                      <w:lang w:val="zh-CN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zh-CN"/>
                    </w:rPr>
                    <w:t>4</w:t>
                  </w:r>
                </w:p>
              </w:tc>
              <w:tc>
                <w:tcPr>
                  <w:tcW w:w="3288" w:type="dxa"/>
                  <w:vAlign w:val="center"/>
                </w:tcPr>
                <w:p>
                  <w:pPr>
                    <w:adjustRightInd w:val="0"/>
                    <w:snapToGrid w:val="0"/>
                    <w:spacing w:line="360" w:lineRule="auto"/>
                    <w:jc w:val="center"/>
                    <w:rPr>
                      <w:rFonts w:ascii="仿宋" w:hAnsi="仿宋" w:eastAsia="仿宋" w:cs="仿宋"/>
                      <w:sz w:val="24"/>
                      <w:szCs w:val="24"/>
                      <w:lang w:val="zh-CN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zh-CN"/>
                    </w:rPr>
                    <w:t>开关门过程噪音</w:t>
                  </w:r>
                  <w:r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  <w:t>[</w:t>
                  </w: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zh-CN"/>
                    </w:rPr>
                    <w:t>d</w:t>
                  </w:r>
                  <w:r>
                    <w:rPr>
                      <w:rFonts w:hint="eastAsia" w:ascii="仿宋" w:hAnsi="仿宋" w:eastAsia="仿宋" w:cs="仿宋"/>
                      <w:sz w:val="24"/>
                      <w:szCs w:val="24"/>
                    </w:rPr>
                    <w:t>B(A)]</w:t>
                  </w:r>
                </w:p>
              </w:tc>
              <w:tc>
                <w:tcPr>
                  <w:tcW w:w="975" w:type="dxa"/>
                  <w:vAlign w:val="center"/>
                </w:tcPr>
                <w:p>
                  <w:pPr>
                    <w:adjustRightInd w:val="0"/>
                    <w:snapToGrid w:val="0"/>
                    <w:spacing w:line="360" w:lineRule="auto"/>
                    <w:jc w:val="center"/>
                    <w:rPr>
                      <w:rFonts w:ascii="仿宋" w:hAnsi="仿宋" w:eastAsia="仿宋" w:cs="仿宋"/>
                      <w:sz w:val="24"/>
                      <w:szCs w:val="24"/>
                      <w:lang w:val="zh-CN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zh-CN"/>
                    </w:rPr>
                    <w:t>≤65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3" w:hRule="atLeast"/>
              </w:trPr>
              <w:tc>
                <w:tcPr>
                  <w:tcW w:w="662" w:type="dxa"/>
                  <w:vAlign w:val="center"/>
                </w:tcPr>
                <w:p>
                  <w:pPr>
                    <w:adjustRightInd w:val="0"/>
                    <w:snapToGrid w:val="0"/>
                    <w:spacing w:line="360" w:lineRule="auto"/>
                    <w:jc w:val="center"/>
                    <w:rPr>
                      <w:rFonts w:ascii="仿宋" w:hAnsi="仿宋" w:eastAsia="仿宋" w:cs="仿宋"/>
                      <w:sz w:val="24"/>
                      <w:szCs w:val="24"/>
                      <w:lang w:val="zh-CN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zh-CN"/>
                    </w:rPr>
                    <w:t>5</w:t>
                  </w:r>
                </w:p>
              </w:tc>
              <w:tc>
                <w:tcPr>
                  <w:tcW w:w="3288" w:type="dxa"/>
                  <w:vAlign w:val="center"/>
                </w:tcPr>
                <w:p>
                  <w:pPr>
                    <w:adjustRightInd w:val="0"/>
                    <w:snapToGrid w:val="0"/>
                    <w:spacing w:line="360" w:lineRule="auto"/>
                    <w:jc w:val="center"/>
                    <w:rPr>
                      <w:rFonts w:ascii="仿宋" w:hAnsi="仿宋" w:eastAsia="仿宋" w:cs="仿宋"/>
                      <w:sz w:val="24"/>
                      <w:szCs w:val="24"/>
                      <w:lang w:val="zh-CN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zh-CN"/>
                    </w:rPr>
                    <w:t>垂直震动加速度（cnm/s2）</w:t>
                  </w:r>
                </w:p>
              </w:tc>
              <w:tc>
                <w:tcPr>
                  <w:tcW w:w="975" w:type="dxa"/>
                  <w:vAlign w:val="center"/>
                </w:tcPr>
                <w:p>
                  <w:pPr>
                    <w:adjustRightInd w:val="0"/>
                    <w:snapToGrid w:val="0"/>
                    <w:spacing w:line="360" w:lineRule="auto"/>
                    <w:jc w:val="center"/>
                    <w:rPr>
                      <w:rFonts w:ascii="仿宋" w:hAnsi="仿宋" w:eastAsia="仿宋" w:cs="仿宋"/>
                      <w:sz w:val="24"/>
                      <w:szCs w:val="24"/>
                      <w:lang w:val="zh-CN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zh-CN"/>
                    </w:rPr>
                    <w:t>≤25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3" w:hRule="atLeast"/>
              </w:trPr>
              <w:tc>
                <w:tcPr>
                  <w:tcW w:w="662" w:type="dxa"/>
                  <w:vAlign w:val="center"/>
                </w:tcPr>
                <w:p>
                  <w:pPr>
                    <w:adjustRightInd w:val="0"/>
                    <w:snapToGrid w:val="0"/>
                    <w:spacing w:line="360" w:lineRule="auto"/>
                    <w:jc w:val="center"/>
                    <w:rPr>
                      <w:rFonts w:ascii="仿宋" w:hAnsi="仿宋" w:eastAsia="仿宋" w:cs="仿宋"/>
                      <w:sz w:val="24"/>
                      <w:szCs w:val="24"/>
                      <w:lang w:val="zh-CN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zh-CN"/>
                    </w:rPr>
                    <w:t>6</w:t>
                  </w:r>
                </w:p>
              </w:tc>
              <w:tc>
                <w:tcPr>
                  <w:tcW w:w="3288" w:type="dxa"/>
                  <w:vAlign w:val="center"/>
                </w:tcPr>
                <w:p>
                  <w:pPr>
                    <w:adjustRightInd w:val="0"/>
                    <w:snapToGrid w:val="0"/>
                    <w:spacing w:line="360" w:lineRule="auto"/>
                    <w:jc w:val="center"/>
                    <w:rPr>
                      <w:rFonts w:ascii="仿宋" w:hAnsi="仿宋" w:eastAsia="仿宋" w:cs="仿宋"/>
                      <w:sz w:val="24"/>
                      <w:szCs w:val="24"/>
                      <w:lang w:val="zh-CN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zh-CN"/>
                    </w:rPr>
                    <w:t>水平震动加速度（cnm/s2）</w:t>
                  </w:r>
                </w:p>
              </w:tc>
              <w:tc>
                <w:tcPr>
                  <w:tcW w:w="975" w:type="dxa"/>
                  <w:vAlign w:val="center"/>
                </w:tcPr>
                <w:p>
                  <w:pPr>
                    <w:adjustRightInd w:val="0"/>
                    <w:snapToGrid w:val="0"/>
                    <w:spacing w:line="360" w:lineRule="auto"/>
                    <w:jc w:val="center"/>
                    <w:rPr>
                      <w:rFonts w:ascii="仿宋" w:hAnsi="仿宋" w:eastAsia="仿宋" w:cs="仿宋"/>
                      <w:sz w:val="24"/>
                      <w:szCs w:val="24"/>
                      <w:lang w:val="zh-CN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zh-CN"/>
                    </w:rPr>
                    <w:t>≤15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3" w:hRule="atLeast"/>
              </w:trPr>
              <w:tc>
                <w:tcPr>
                  <w:tcW w:w="662" w:type="dxa"/>
                  <w:vAlign w:val="center"/>
                </w:tcPr>
                <w:p>
                  <w:pPr>
                    <w:adjustRightInd w:val="0"/>
                    <w:snapToGrid w:val="0"/>
                    <w:spacing w:line="360" w:lineRule="auto"/>
                    <w:jc w:val="center"/>
                    <w:rPr>
                      <w:rFonts w:ascii="仿宋" w:hAnsi="仿宋" w:eastAsia="仿宋" w:cs="仿宋"/>
                      <w:sz w:val="24"/>
                      <w:szCs w:val="24"/>
                      <w:lang w:val="zh-CN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zh-CN"/>
                    </w:rPr>
                    <w:t>7</w:t>
                  </w:r>
                </w:p>
              </w:tc>
              <w:tc>
                <w:tcPr>
                  <w:tcW w:w="3288" w:type="dxa"/>
                  <w:vAlign w:val="center"/>
                </w:tcPr>
                <w:p>
                  <w:pPr>
                    <w:adjustRightInd w:val="0"/>
                    <w:snapToGrid w:val="0"/>
                    <w:spacing w:line="360" w:lineRule="auto"/>
                    <w:jc w:val="center"/>
                    <w:rPr>
                      <w:rFonts w:ascii="仿宋" w:hAnsi="仿宋" w:eastAsia="仿宋" w:cs="仿宋"/>
                      <w:sz w:val="24"/>
                      <w:szCs w:val="24"/>
                      <w:lang w:val="zh-CN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zh-CN"/>
                    </w:rPr>
                    <w:t>故障率（次）</w:t>
                  </w:r>
                </w:p>
              </w:tc>
              <w:tc>
                <w:tcPr>
                  <w:tcW w:w="975" w:type="dxa"/>
                  <w:vAlign w:val="center"/>
                </w:tcPr>
                <w:p>
                  <w:pPr>
                    <w:adjustRightInd w:val="0"/>
                    <w:snapToGrid w:val="0"/>
                    <w:spacing w:line="360" w:lineRule="auto"/>
                    <w:jc w:val="center"/>
                    <w:rPr>
                      <w:rFonts w:ascii="仿宋" w:hAnsi="仿宋" w:eastAsia="仿宋" w:cs="仿宋"/>
                      <w:sz w:val="24"/>
                      <w:szCs w:val="24"/>
                      <w:lang w:val="zh-CN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4"/>
                      <w:lang w:val="zh-CN"/>
                    </w:rPr>
                    <w:t>5/60000</w:t>
                  </w:r>
                </w:p>
              </w:tc>
            </w:tr>
          </w:tbl>
          <w:p>
            <w:pPr>
              <w:widowControl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  <w:tc>
          <w:tcPr>
            <w:tcW w:w="870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863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台</w:t>
            </w:r>
          </w:p>
        </w:tc>
      </w:tr>
    </w:tbl>
    <w:p>
      <w:pPr>
        <w:pStyle w:val="9"/>
        <w:spacing w:line="360" w:lineRule="auto"/>
        <w:ind w:firstLine="0" w:firstLineChars="0"/>
        <w:rPr>
          <w:rFonts w:ascii="仿宋" w:hAnsi="仿宋" w:eastAsia="仿宋" w:cs="仿宋"/>
          <w:b/>
          <w:color w:val="000000"/>
        </w:rPr>
      </w:pPr>
      <w:r>
        <w:rPr>
          <w:rFonts w:hint="eastAsia" w:ascii="仿宋" w:hAnsi="仿宋" w:eastAsia="仿宋" w:cs="仿宋"/>
          <w:b/>
          <w:color w:val="000000"/>
        </w:rPr>
        <w:t>注：除上述要求外，本次采购电梯的其它技术参数、功能及质量要求均不能低于国家现行电梯的相关标准。</w:t>
      </w:r>
    </w:p>
    <w:bookmarkEnd w:id="0"/>
    <w:p>
      <w:pPr>
        <w:spacing w:before="198" w:line="470" w:lineRule="auto"/>
        <w:ind w:left="3" w:firstLine="673"/>
        <w:rPr>
          <w:rFonts w:ascii="宋体" w:hAnsi="宋体" w:eastAsia="宋体" w:cs="宋体"/>
          <w:sz w:val="19"/>
          <w:szCs w:val="19"/>
        </w:rPr>
      </w:pPr>
    </w:p>
    <w:sectPr>
      <w:footerReference r:id="rId5" w:type="default"/>
      <w:pgSz w:w="11900" w:h="16840"/>
      <w:pgMar w:top="629" w:right="768" w:bottom="276" w:left="671" w:header="0" w:footer="0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79" w:lineRule="auto"/>
      <w:ind w:left="4807"/>
      <w:rPr>
        <w:rFonts w:ascii="Lucida Sans Unicode" w:hAnsi="Lucida Sans Unicode" w:eastAsia="Lucida Sans Unicode" w:cs="Lucida Sans Unicode"/>
        <w:sz w:val="24"/>
        <w:szCs w:val="24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AC2D54A"/>
    <w:multiLevelType w:val="singleLevel"/>
    <w:tmpl w:val="BAC2D54A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D275C1A9"/>
    <w:multiLevelType w:val="singleLevel"/>
    <w:tmpl w:val="D275C1A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149A08B9"/>
    <w:multiLevelType w:val="multilevel"/>
    <w:tmpl w:val="149A08B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72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72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720"/>
      </w:pPr>
    </w:lvl>
    <w:lvl w:ilvl="4" w:tentative="0">
      <w:start w:val="1"/>
      <w:numFmt w:val="decimal"/>
      <w:pStyle w:val="2"/>
      <w:lvlText w:val="%5."/>
      <w:lvlJc w:val="left"/>
      <w:pPr>
        <w:tabs>
          <w:tab w:val="left" w:pos="3600"/>
        </w:tabs>
        <w:ind w:left="3600" w:hanging="72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72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</w:lvl>
  </w:abstractNum>
  <w:abstractNum w:abstractNumId="3">
    <w:nsid w:val="22AAE438"/>
    <w:multiLevelType w:val="singleLevel"/>
    <w:tmpl w:val="22AAE43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ZDdiNGQxYTVlZjlkNzU4MDhkNmRjOTY1NGUwZmVjOTQifQ=="/>
  </w:docVars>
  <w:rsids>
    <w:rsidRoot w:val="00000000"/>
    <w:rsid w:val="1D11603C"/>
    <w:rsid w:val="226930E7"/>
    <w:rsid w:val="3B5C5104"/>
    <w:rsid w:val="62012EFC"/>
    <w:rsid w:val="6758640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11">
    <w:name w:val="Default Paragraph Font"/>
    <w:semiHidden/>
    <w:uiPriority w:val="0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标题 5（有编号）（绿盟科技）"/>
    <w:basedOn w:val="1"/>
    <w:next w:val="3"/>
    <w:qFormat/>
    <w:uiPriority w:val="99"/>
    <w:pPr>
      <w:keepNext/>
      <w:keepLines/>
      <w:numPr>
        <w:ilvl w:val="4"/>
        <w:numId w:val="1"/>
      </w:numPr>
      <w:spacing w:before="280" w:after="156" w:line="377" w:lineRule="auto"/>
      <w:jc w:val="left"/>
      <w:outlineLvl w:val="4"/>
    </w:pPr>
    <w:rPr>
      <w:rFonts w:ascii="Arial" w:hAnsi="Arial" w:eastAsia="黑体" w:cs="Arial"/>
      <w:b/>
      <w:bCs/>
      <w:sz w:val="24"/>
      <w:szCs w:val="24"/>
    </w:rPr>
  </w:style>
  <w:style w:type="paragraph" w:customStyle="1" w:styleId="3">
    <w:name w:val="正文（绿盟科技）"/>
    <w:qFormat/>
    <w:uiPriority w:val="0"/>
    <w:pPr>
      <w:spacing w:line="300" w:lineRule="auto"/>
    </w:pPr>
    <w:rPr>
      <w:rFonts w:ascii="Arial" w:hAnsi="Arial" w:eastAsia="宋体" w:cs="黑体"/>
      <w:sz w:val="21"/>
      <w:szCs w:val="21"/>
      <w:lang w:val="en-US" w:eastAsia="zh-CN" w:bidi="ar-SA"/>
    </w:rPr>
  </w:style>
  <w:style w:type="paragraph" w:styleId="4">
    <w:name w:val="Body Text"/>
    <w:basedOn w:val="1"/>
    <w:next w:val="1"/>
    <w:qFormat/>
    <w:uiPriority w:val="99"/>
    <w:rPr>
      <w:kern w:val="0"/>
      <w:sz w:val="24"/>
      <w:szCs w:val="24"/>
    </w:rPr>
  </w:style>
  <w:style w:type="paragraph" w:styleId="5">
    <w:name w:val="Body Text Indent 2"/>
    <w:basedOn w:val="1"/>
    <w:next w:val="6"/>
    <w:qFormat/>
    <w:uiPriority w:val="0"/>
    <w:pPr>
      <w:spacing w:after="120" w:line="480" w:lineRule="auto"/>
      <w:ind w:left="420" w:leftChars="200"/>
    </w:pPr>
  </w:style>
  <w:style w:type="paragraph" w:customStyle="1" w:styleId="6">
    <w:name w:val="样式"/>
    <w:qFormat/>
    <w:uiPriority w:val="99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8">
    <w:name w:val="header"/>
    <w:basedOn w:val="1"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kern w:val="0"/>
      <w:sz w:val="18"/>
      <w:szCs w:val="18"/>
    </w:rPr>
  </w:style>
  <w:style w:type="paragraph" w:styleId="9">
    <w:name w:val="Body Text First Indent"/>
    <w:basedOn w:val="4"/>
    <w:next w:val="1"/>
    <w:qFormat/>
    <w:uiPriority w:val="99"/>
    <w:pPr>
      <w:spacing w:after="120"/>
      <w:ind w:firstLine="420" w:firstLineChars="100"/>
    </w:pPr>
  </w:style>
  <w:style w:type="table" w:customStyle="1" w:styleId="12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3">
    <w:name w:val="引用1"/>
    <w:next w:val="1"/>
    <w:qFormat/>
    <w:uiPriority w:val="99"/>
    <w:pPr>
      <w:wordWrap w:val="0"/>
      <w:spacing w:before="200" w:after="160"/>
      <w:ind w:left="864" w:right="864"/>
      <w:jc w:val="center"/>
    </w:pPr>
    <w:rPr>
      <w:rFonts w:ascii="Times New Roman" w:hAnsi="Times New Roman" w:eastAsia="宋体" w:cs="Times New Roman"/>
      <w:i/>
      <w:iCs/>
      <w:sz w:val="21"/>
      <w:szCs w:val="21"/>
      <w:lang w:val="en-US" w:eastAsia="zh-CN" w:bidi="ar-SA"/>
    </w:rPr>
  </w:style>
  <w:style w:type="paragraph" w:customStyle="1" w:styleId="14">
    <w:name w:val="Default"/>
    <w:next w:val="5"/>
    <w:qFormat/>
    <w:uiPriority w:val="99"/>
    <w:pPr>
      <w:widowControl w:val="0"/>
      <w:jc w:val="both"/>
    </w:pPr>
    <w:rPr>
      <w:rFonts w:ascii="宋体" w:hAnsi="宋体" w:eastAsia="宋体" w:cs="宋体"/>
      <w:color w:val="000000"/>
      <w:sz w:val="24"/>
      <w:szCs w:val="24"/>
      <w:lang w:val="en-US" w:eastAsia="zh-CN" w:bidi="ar-SA"/>
    </w:rPr>
  </w:style>
  <w:style w:type="paragraph" w:customStyle="1" w:styleId="15">
    <w:name w:val="_Style 13"/>
    <w:basedOn w:val="1"/>
    <w:next w:val="1"/>
    <w:qFormat/>
    <w:uiPriority w:val="0"/>
    <w:rPr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10</Pages>
  <Words>5141</Words>
  <Characters>5502</Characters>
  <TotalTime>0</TotalTime>
  <ScaleCrop>false</ScaleCrop>
  <LinksUpToDate>false</LinksUpToDate>
  <CharactersWithSpaces>5700</CharactersWithSpaces>
  <Application>WPS Office_11.1.0.13703_F1E327BC-269C-435d-A152-05C5408002CA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2022-12-13T16:22:00Z</dcterms:created>
  <dc:creator>Administrator</dc:creator>
  <cp:lastModifiedBy>想像风一样自由。</cp:lastModifiedBy>
  <dcterms:modified xsi:type="dcterms:W3CDTF">2023-04-03T07:30:06Z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wqlLaW5nc29mdCBQREYgdG8gV1BTIDgw</vt:lpwstr>
  </property>
  <property fmtid="{D5CDD505-2E9C-101B-9397-08002B2CF9AE}" pid="3" name="Created">
    <vt:filetime>2022-12-20T12:52:39Z</vt:filetime>
  </property>
  <property fmtid="{D5CDD505-2E9C-101B-9397-08002B2CF9AE}" pid="4" name="KSOProductBuildVer">
    <vt:lpwstr>2052-11.1.0.13703</vt:lpwstr>
  </property>
  <property fmtid="{D5CDD505-2E9C-101B-9397-08002B2CF9AE}" pid="5" name="ICV">
    <vt:lpwstr>CEB92F2A159D45E9A3B59EE0596C785D</vt:lpwstr>
  </property>
</Properties>
</file>