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sz w:val="36"/>
          <w:szCs w:val="36"/>
          <w:u w:val="none"/>
        </w:rPr>
      </w:pPr>
      <w:r>
        <w:rPr>
          <w:rFonts w:hint="eastAsia" w:ascii="方正小标宋_GBK" w:hAnsi="方正小标宋_GBK" w:eastAsia="方正小标宋_GBK" w:cs="方正小标宋_GBK"/>
          <w:i w:val="0"/>
          <w:iCs w:val="0"/>
          <w:color w:val="000000"/>
          <w:sz w:val="36"/>
          <w:szCs w:val="36"/>
          <w:u w:val="none"/>
        </w:rPr>
        <w:t>德昌县中医医院</w:t>
      </w:r>
    </w:p>
    <w:p>
      <w:pPr>
        <w:keepNext w:val="0"/>
        <w:keepLines w:val="0"/>
        <w:widowControl/>
        <w:suppressLineNumbers w:val="0"/>
        <w:jc w:val="center"/>
        <w:textAlignment w:val="center"/>
        <w:rPr>
          <w:rFonts w:hint="default" w:ascii="方正小标宋_GBK" w:hAnsi="方正小标宋_GBK" w:eastAsia="方正小标宋_GBK" w:cs="方正小标宋_GBK"/>
          <w:i w:val="0"/>
          <w:iCs w:val="0"/>
          <w:color w:val="000000"/>
          <w:sz w:val="36"/>
          <w:szCs w:val="36"/>
          <w:u w:val="none"/>
          <w:lang w:val="en-US" w:eastAsia="zh-CN"/>
        </w:rPr>
      </w:pPr>
      <w:r>
        <w:rPr>
          <w:rFonts w:hint="eastAsia" w:ascii="方正小标宋_GBK" w:hAnsi="方正小标宋_GBK" w:eastAsia="方正小标宋_GBK" w:cs="方正小标宋_GBK"/>
          <w:i w:val="0"/>
          <w:iCs w:val="0"/>
          <w:color w:val="000000"/>
          <w:sz w:val="36"/>
          <w:szCs w:val="36"/>
          <w:u w:val="none"/>
        </w:rPr>
        <w:t>新建康复服务中心项目与新建医教研综合楼项目有线网络设备采购安装</w:t>
      </w:r>
      <w:r>
        <w:rPr>
          <w:rFonts w:hint="eastAsia" w:ascii="方正小标宋_GBK" w:hAnsi="方正小标宋_GBK" w:eastAsia="方正小标宋_GBK" w:cs="方正小标宋_GBK"/>
          <w:i w:val="0"/>
          <w:iCs w:val="0"/>
          <w:color w:val="000000"/>
          <w:sz w:val="36"/>
          <w:szCs w:val="36"/>
          <w:u w:val="none"/>
          <w:lang w:val="en-US" w:eastAsia="zh-CN"/>
        </w:rPr>
        <w:t>服务报价表</w:t>
      </w:r>
    </w:p>
    <w:tbl>
      <w:tblPr>
        <w:tblStyle w:val="3"/>
        <w:tblW w:w="494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69"/>
        <w:gridCol w:w="1020"/>
        <w:gridCol w:w="669"/>
        <w:gridCol w:w="669"/>
        <w:gridCol w:w="4090"/>
        <w:gridCol w:w="1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trPr>
        <w:tc>
          <w:tcPr>
            <w:tcW w:w="396" w:type="pct"/>
            <w:shd w:val="clear" w:color="auto" w:fill="auto"/>
            <w:noWrap/>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sz w:val="22"/>
                <w:szCs w:val="22"/>
                <w:u w:val="none"/>
                <w:lang w:val="en-US" w:eastAsia="zh-CN"/>
              </w:rPr>
            </w:pPr>
            <w:r>
              <w:rPr>
                <w:rFonts w:hint="eastAsia" w:ascii="方正小标宋_GBK" w:hAnsi="方正小标宋_GBK" w:eastAsia="方正小标宋_GBK" w:cs="方正小标宋_GBK"/>
                <w:i w:val="0"/>
                <w:iCs w:val="0"/>
                <w:color w:val="000000"/>
                <w:sz w:val="22"/>
                <w:szCs w:val="22"/>
                <w:u w:val="none"/>
                <w:lang w:val="en-US" w:eastAsia="zh-CN"/>
              </w:rPr>
              <w:t>序号</w:t>
            </w:r>
          </w:p>
        </w:tc>
        <w:tc>
          <w:tcPr>
            <w:tcW w:w="605" w:type="pct"/>
            <w:shd w:val="clear" w:color="auto" w:fill="auto"/>
            <w:noWrap/>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sz w:val="22"/>
                <w:szCs w:val="22"/>
                <w:u w:val="none"/>
              </w:rPr>
            </w:pPr>
            <w:r>
              <w:rPr>
                <w:rFonts w:hint="eastAsia" w:ascii="方正小标宋_GBK" w:hAnsi="方正小标宋_GBK" w:eastAsia="方正小标宋_GBK" w:cs="方正小标宋_GBK"/>
                <w:i w:val="0"/>
                <w:iCs w:val="0"/>
                <w:color w:val="000000"/>
                <w:kern w:val="0"/>
                <w:sz w:val="22"/>
                <w:szCs w:val="22"/>
                <w:u w:val="none"/>
                <w:lang w:val="en-US" w:eastAsia="zh-CN" w:bidi="ar"/>
              </w:rPr>
              <w:t>名 称</w:t>
            </w:r>
          </w:p>
        </w:tc>
        <w:tc>
          <w:tcPr>
            <w:tcW w:w="396" w:type="pct"/>
            <w:shd w:val="clear" w:color="auto" w:fill="auto"/>
            <w:noWrap/>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sz w:val="22"/>
                <w:szCs w:val="22"/>
                <w:u w:val="none"/>
              </w:rPr>
            </w:pPr>
            <w:r>
              <w:rPr>
                <w:rFonts w:hint="eastAsia" w:ascii="方正小标宋_GBK" w:hAnsi="方正小标宋_GBK" w:eastAsia="方正小标宋_GBK" w:cs="方正小标宋_GBK"/>
                <w:i w:val="0"/>
                <w:iCs w:val="0"/>
                <w:color w:val="000000"/>
                <w:kern w:val="0"/>
                <w:sz w:val="22"/>
                <w:szCs w:val="22"/>
                <w:u w:val="none"/>
                <w:lang w:val="en-US" w:eastAsia="zh-CN" w:bidi="ar"/>
              </w:rPr>
              <w:t>数量</w:t>
            </w:r>
          </w:p>
        </w:tc>
        <w:tc>
          <w:tcPr>
            <w:tcW w:w="396" w:type="pct"/>
            <w:shd w:val="clear" w:color="auto" w:fill="auto"/>
            <w:noWrap/>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sz w:val="22"/>
                <w:szCs w:val="22"/>
                <w:u w:val="none"/>
              </w:rPr>
            </w:pPr>
            <w:r>
              <w:rPr>
                <w:rFonts w:hint="eastAsia" w:ascii="方正小标宋_GBK" w:hAnsi="方正小标宋_GBK" w:eastAsia="方正小标宋_GBK" w:cs="方正小标宋_GBK"/>
                <w:i w:val="0"/>
                <w:iCs w:val="0"/>
                <w:color w:val="000000"/>
                <w:kern w:val="0"/>
                <w:sz w:val="22"/>
                <w:szCs w:val="22"/>
                <w:u w:val="none"/>
                <w:lang w:val="en-US" w:eastAsia="zh-CN" w:bidi="ar"/>
              </w:rPr>
              <w:t>单位</w:t>
            </w:r>
          </w:p>
        </w:tc>
        <w:tc>
          <w:tcPr>
            <w:tcW w:w="2426" w:type="pct"/>
            <w:shd w:val="clear" w:color="auto" w:fill="auto"/>
            <w:noWrap/>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sz w:val="22"/>
                <w:szCs w:val="22"/>
                <w:u w:val="none"/>
              </w:rPr>
            </w:pPr>
            <w:r>
              <w:rPr>
                <w:rFonts w:hint="eastAsia" w:ascii="方正小标宋_GBK" w:hAnsi="方正小标宋_GBK" w:eastAsia="方正小标宋_GBK" w:cs="方正小标宋_GBK"/>
                <w:i w:val="0"/>
                <w:iCs w:val="0"/>
                <w:color w:val="000000"/>
                <w:kern w:val="0"/>
                <w:sz w:val="22"/>
                <w:szCs w:val="22"/>
                <w:u w:val="none"/>
                <w:lang w:val="en-US" w:eastAsia="zh-CN" w:bidi="ar"/>
              </w:rPr>
              <w:t>参   数</w:t>
            </w:r>
          </w:p>
        </w:tc>
        <w:tc>
          <w:tcPr>
            <w:tcW w:w="777" w:type="pct"/>
            <w:shd w:val="clear" w:color="auto" w:fill="auto"/>
            <w:noWrap/>
            <w:vAlign w:val="center"/>
          </w:tcPr>
          <w:p>
            <w:pPr>
              <w:keepNext w:val="0"/>
              <w:keepLines w:val="0"/>
              <w:widowControl/>
              <w:suppressLineNumbers w:val="0"/>
              <w:jc w:val="center"/>
              <w:textAlignment w:val="center"/>
              <w:rPr>
                <w:rFonts w:hint="eastAsia" w:ascii="方正小标宋_GBK" w:hAnsi="方正小标宋_GBK" w:eastAsia="方正小标宋_GBK" w:cs="方正小标宋_GBK"/>
                <w:i w:val="0"/>
                <w:iCs w:val="0"/>
                <w:color w:val="000000"/>
                <w:kern w:val="0"/>
                <w:sz w:val="22"/>
                <w:szCs w:val="22"/>
                <w:u w:val="none"/>
                <w:lang w:val="en-US" w:eastAsia="zh-CN" w:bidi="ar"/>
              </w:rPr>
            </w:pPr>
            <w:r>
              <w:rPr>
                <w:rFonts w:hint="eastAsia" w:ascii="方正小标宋_GBK" w:hAnsi="方正小标宋_GBK" w:eastAsia="方正小标宋_GBK" w:cs="方正小标宋_GBK"/>
                <w:i w:val="0"/>
                <w:iCs w:val="0"/>
                <w:color w:val="000000"/>
                <w:kern w:val="0"/>
                <w:sz w:val="22"/>
                <w:szCs w:val="22"/>
                <w:u w:val="none"/>
                <w:lang w:val="en-US" w:eastAsia="zh-CN" w:bidi="ar"/>
              </w:rPr>
              <w:t>报价单价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2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w:t>
            </w:r>
          </w:p>
        </w:tc>
        <w:tc>
          <w:tcPr>
            <w:tcW w:w="605"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汇聚交换机</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4</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台</w:t>
            </w:r>
          </w:p>
        </w:tc>
        <w:tc>
          <w:tcPr>
            <w:tcW w:w="242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1.交换容量≥598Gbps，堆叠后的交换容量≥5.98Tbps，包转发率≥148Mpps</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2.24个千兆电口，其中8个为千兆光电复用口；4个万兆SFP+</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3.支持防止 DOS、ARP 攻击功能、ICMP 防攻击，SYN Flood、Land、ICMP Flood,提供官网链接及截图</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4.风能散热，支持智能调速,提供官网链接及截图</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5.支持MAC地址≥16K，支持4K VLAN，支持Voice VLAN，支持基于 MAC/协议/IP 子网/策略/端口的 VLAN，支持 VLAN Stacking</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6.支持 ERPS 以太环保护协议（G.8032）；提供官网链接及截图</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支持 STP（IEEE 802.1d），RSTP（IEEE 802.1w）和 MSTP（IEEE 802.1s）协议</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7.支持静态路由，策略路由路由，最大 512 个 FIBv4 条目，最大 512 个 FIBv6 条目，支持IPv6特性</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8.支持智能iStack堆叠，将多台支持堆叠特性的交换机组合在一起，从逻辑上虚拟为一台交换机</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9.业务口防雷可达10KV</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10.设备能够长期在-5°C ~ +50°C温度范围内稳定运行</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11.支持 802.3az 能效以太网 EEE，节能环保</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12.支持SNMPv1/v2/v3,Telnet,RMON，HTTPS,Web等方式进行管理和维护</w:t>
            </w:r>
          </w:p>
        </w:tc>
        <w:tc>
          <w:tcPr>
            <w:tcW w:w="77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48交换机</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15</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台</w:t>
            </w:r>
          </w:p>
        </w:tc>
        <w:tc>
          <w:tcPr>
            <w:tcW w:w="2426"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1.交换容量≥432Gbps，包转发率≥108Mpps</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2.48个千兆电口，4个千兆SFP</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3.支持Console接口</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4.风冷散热，智能调速</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5.支持MAC地址≥16K，支持4K VLAN</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6.支持 ERPS 以太环保护协议（G.8032）；提供官网链接及截图</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支持 STP（IEEE 802.1d），RSTP（IEEE 802.1w）和 MSTP（IEEE 802.1s）协议</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7.MTBF（平均无故障时间）超过70年</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8.可用度满足99.999%的电信级可靠性要求，并提供官网链接及截图</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9.业务口防雷可达10KV</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10.使用非工业级光模块情况下的长期工作环境温度范围：-5℃~50℃，长期工作环境相对湿度为5%~95%，非凝露</w:t>
            </w:r>
          </w:p>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11.支持SNMPv1/v2/v3,Telnet,RMON，HTTPS,Web等方式进行管理和维护</w:t>
            </w:r>
          </w:p>
        </w:tc>
        <w:tc>
          <w:tcPr>
            <w:tcW w:w="777" w:type="pc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3</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24交换机</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12</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台</w:t>
            </w:r>
          </w:p>
        </w:tc>
        <w:tc>
          <w:tcPr>
            <w:tcW w:w="2426" w:type="pct"/>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1.千兆无管理交换机</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2.包转发率38.69≥Mpps,交换容量52≥Gbps</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3.24个千兆电口,2个千兆光口</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4.支持MAC地址≥8K</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5.‌散热方式‌：自然散热，无风扇设计</w:t>
            </w:r>
            <w:r>
              <w:rPr>
                <w:rFonts w:hint="default" w:ascii="Times New Roman" w:hAnsi="Times New Roman" w:eastAsia="方正仿宋_GBK" w:cs="Times New Roman"/>
                <w:i w:val="0"/>
                <w:iCs w:val="0"/>
                <w:caps w:val="0"/>
                <w:color w:val="333333"/>
                <w:spacing w:val="0"/>
                <w:sz w:val="16"/>
                <w:szCs w:val="16"/>
                <w:shd w:val="clear" w:fill="FFFFFF"/>
              </w:rPr>
              <w:t>‌</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6.1U标准机架,6KV防雷</w:t>
            </w:r>
          </w:p>
        </w:tc>
        <w:tc>
          <w:tcPr>
            <w:tcW w:w="777" w:type="pct"/>
            <w:shd w:val="clear" w:color="auto" w:fill="auto"/>
            <w:vAlign w:val="center"/>
          </w:tcPr>
          <w:p>
            <w:pPr>
              <w:keepNext w:val="0"/>
              <w:keepLines w:val="0"/>
              <w:pageBreakBefore w:val="0"/>
              <w:widowControl/>
              <w:numPr>
                <w:ilvl w:val="0"/>
                <w:numId w:val="0"/>
              </w:numPr>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4</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千兆光模块</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66</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个</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光模块-eSFP-GE-单模模块(1310nm,10km,LC)</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封装‌：eSFP</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‌接口标准‌：1000BASE-LX10/LH</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‌连接器类型‌：LC</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‌光纤类型‌：单模光纤（SMF）</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‌工作壳温‌：[0°C]~[70°C]</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‌数字诊断功能‌：支持</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‌传输速率‌：[1 Gbit/s]</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‌目标传输距离‌：单模光纤10km</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‌发送端光参数‌：</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‌中心波长‌：[1310nm]</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‌最大发送光功率‌：[−3.0dBm]</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‌最小发送光功率‌：[−9.0dBm]</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‌最小消光比‌：[9dB]</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‌接收端光参数‌：</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‌接收灵敏度‌：[−20.0dBm]</w:t>
            </w:r>
          </w:p>
          <w:p>
            <w:pPr>
              <w:keepNext w:val="0"/>
              <w:keepLines w:val="0"/>
              <w:pageBreakBefore w:val="0"/>
              <w:widowControl/>
              <w:suppressLineNumbers w:val="0"/>
              <w:kinsoku/>
              <w:wordWrap/>
              <w:overflowPunct/>
              <w:topLinePunct w:val="0"/>
              <w:autoSpaceDE/>
              <w:autoSpaceDN/>
              <w:bidi w:val="0"/>
              <w:adjustRightInd/>
              <w:snapToGrid/>
              <w:spacing w:line="32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default" w:ascii="Times New Roman" w:hAnsi="Times New Roman" w:eastAsia="方正仿宋_GBK" w:cs="Times New Roman"/>
                <w:i w:val="0"/>
                <w:iCs w:val="0"/>
                <w:color w:val="000000"/>
                <w:kern w:val="0"/>
                <w:sz w:val="22"/>
                <w:szCs w:val="22"/>
                <w:u w:val="none"/>
                <w:lang w:val="en-US" w:eastAsia="zh-CN" w:bidi="ar"/>
              </w:rPr>
              <w:t>‌过载光功率‌：[−3.0dBm]</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both"/>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5</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72芯光缆</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65</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米</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优质GYTA 72芯单模光缆</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8"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6</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24芯光缆</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240</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米</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优质GYTA 24芯单模光缆</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7</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光缆成端接续</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828</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芯</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优质室内光缆成端接续</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8</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ODF子框</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15</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个</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优质</w:t>
            </w:r>
            <w:r>
              <w:rPr>
                <w:rFonts w:hint="default" w:ascii="Times New Roman" w:hAnsi="Times New Roman" w:eastAsia="方正仿宋_GBK" w:cs="Times New Roman"/>
                <w:i w:val="0"/>
                <w:iCs w:val="0"/>
                <w:color w:val="000000"/>
                <w:sz w:val="22"/>
                <w:szCs w:val="22"/>
                <w:u w:val="none"/>
                <w:lang w:val="en-US" w:eastAsia="zh-CN"/>
              </w:rPr>
              <w:t>7</w:t>
            </w:r>
            <w:r>
              <w:rPr>
                <w:rFonts w:hint="default" w:ascii="Times New Roman" w:hAnsi="Times New Roman" w:eastAsia="方正仿宋_GBK" w:cs="Times New Roman"/>
                <w:i w:val="0"/>
                <w:iCs w:val="0"/>
                <w:color w:val="000000"/>
                <w:sz w:val="22"/>
                <w:szCs w:val="22"/>
                <w:u w:val="none"/>
              </w:rPr>
              <w:t>2芯FC单模；满配尾纤、耦合器</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9</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辅材</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批</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优质辅材</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10</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插线板</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27</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个</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PP材质，高温阻燃4位插座</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11</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电源线</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145</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米</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国标RVV 2.5平方2芯 高纯无氧铜 防水防潮 内置抗拉填充绳 不易发热 PVC聚氯乙烯护套</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12</w:t>
            </w:r>
          </w:p>
        </w:tc>
        <w:tc>
          <w:tcPr>
            <w:tcW w:w="605"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网络机柜</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1</w:t>
            </w:r>
          </w:p>
        </w:tc>
        <w:tc>
          <w:tcPr>
            <w:tcW w:w="39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sz w:val="22"/>
                <w:szCs w:val="22"/>
                <w:u w:val="none"/>
              </w:rPr>
            </w:pPr>
            <w:r>
              <w:rPr>
                <w:rFonts w:hint="default" w:ascii="Times New Roman" w:hAnsi="Times New Roman" w:eastAsia="方正仿宋_GBK" w:cs="Times New Roman"/>
                <w:i w:val="0"/>
                <w:iCs w:val="0"/>
                <w:color w:val="000000"/>
                <w:kern w:val="0"/>
                <w:sz w:val="22"/>
                <w:szCs w:val="22"/>
                <w:u w:val="none"/>
                <w:lang w:val="en-US" w:eastAsia="zh-CN" w:bidi="ar"/>
              </w:rPr>
              <w:t>个</w:t>
            </w:r>
          </w:p>
        </w:tc>
        <w:tc>
          <w:tcPr>
            <w:tcW w:w="2426"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20" w:lineRule="exact"/>
              <w:jc w:val="center"/>
              <w:textAlignment w:val="center"/>
              <w:rPr>
                <w:rFonts w:hint="default" w:ascii="Times New Roman" w:hAnsi="Times New Roman" w:eastAsia="方正仿宋_GBK" w:cs="Times New Roman"/>
                <w:i w:val="0"/>
                <w:iCs w:val="0"/>
                <w:color w:val="000000"/>
                <w:sz w:val="22"/>
                <w:szCs w:val="22"/>
                <w:u w:val="none"/>
                <w:lang w:val="en-US"/>
              </w:rPr>
            </w:pPr>
            <w:r>
              <w:rPr>
                <w:rFonts w:hint="default" w:ascii="Times New Roman" w:hAnsi="Times New Roman" w:eastAsia="方正仿宋_GBK" w:cs="Times New Roman"/>
                <w:i w:val="0"/>
                <w:iCs w:val="0"/>
                <w:color w:val="000000"/>
                <w:kern w:val="0"/>
                <w:sz w:val="22"/>
                <w:szCs w:val="22"/>
                <w:u w:val="none"/>
                <w:lang w:val="en-US" w:eastAsia="zh-CN" w:bidi="ar"/>
              </w:rPr>
              <w:t>9U壁挂机柜 高*宽*深450*550*400,使用深度350mm 螺丝 1块托盘 黑色</w:t>
            </w:r>
          </w:p>
        </w:tc>
        <w:tc>
          <w:tcPr>
            <w:tcW w:w="777" w:type="pc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00" w:hRule="atLeast"/>
        </w:trPr>
        <w:tc>
          <w:tcPr>
            <w:tcW w:w="5000" w:type="pct"/>
            <w:gridSpan w:val="6"/>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合计：___________________（大写：___________）</w:t>
            </w:r>
          </w:p>
        </w:tc>
      </w:tr>
    </w:tbl>
    <w:p>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default" w:ascii="Times New Roman" w:hAnsi="Times New Roman" w:eastAsia="方正仿宋_GBK" w:cs="Times New Roman"/>
          <w:b/>
          <w:bCs/>
          <w:i w:val="0"/>
          <w:iCs w:val="0"/>
          <w:color w:val="000000"/>
          <w:kern w:val="0"/>
          <w:sz w:val="22"/>
          <w:szCs w:val="22"/>
          <w:u w:val="none"/>
          <w:lang w:val="en-US" w:eastAsia="zh-CN" w:bidi="ar"/>
        </w:rPr>
      </w:pPr>
      <w:r>
        <w:rPr>
          <w:rFonts w:hint="eastAsia" w:ascii="Times New Roman" w:hAnsi="Times New Roman" w:eastAsia="方正仿宋_GBK" w:cs="Times New Roman"/>
          <w:b/>
          <w:bCs/>
          <w:i w:val="0"/>
          <w:iCs w:val="0"/>
          <w:color w:val="000000"/>
          <w:kern w:val="0"/>
          <w:sz w:val="22"/>
          <w:szCs w:val="22"/>
          <w:u w:val="none"/>
          <w:lang w:val="en-US" w:eastAsia="zh-CN" w:bidi="ar"/>
        </w:rPr>
        <w:t>备注： 本项目供货商报价，其报价费用组成包含产品安装、运输、装卸车、设计、生产、专利、税务、人工、供货方利润及产品质量保证售后服务的费用，是将产品运抵购买单位指定安装场地完成产品验收的费用；产品免费质量保证期为</w:t>
      </w:r>
      <w:r>
        <w:rPr>
          <w:rFonts w:hint="eastAsia" w:eastAsia="方正仿宋_GBK" w:cs="Times New Roman"/>
          <w:b/>
          <w:bCs/>
          <w:i w:val="0"/>
          <w:iCs w:val="0"/>
          <w:color w:val="000000"/>
          <w:kern w:val="0"/>
          <w:sz w:val="22"/>
          <w:szCs w:val="22"/>
          <w:u w:val="none"/>
          <w:lang w:val="en-US" w:eastAsia="zh-CN" w:bidi="ar"/>
        </w:rPr>
        <w:t>1</w:t>
      </w:r>
      <w:r>
        <w:rPr>
          <w:rFonts w:hint="eastAsia" w:ascii="Times New Roman" w:hAnsi="Times New Roman" w:eastAsia="方正仿宋_GBK" w:cs="Times New Roman"/>
          <w:b/>
          <w:bCs/>
          <w:i w:val="0"/>
          <w:iCs w:val="0"/>
          <w:color w:val="000000"/>
          <w:kern w:val="0"/>
          <w:sz w:val="22"/>
          <w:szCs w:val="22"/>
          <w:u w:val="none"/>
          <w:lang w:val="en-US" w:eastAsia="zh-CN" w:bidi="ar"/>
        </w:rPr>
        <w:t>年，质保期内因产品自身质量问题造成的损坏，供货单位无条件免费更换。</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供应商名称：                      （盖单位公章）</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 xml:space="preserve">法定代表人/负责人或授权代表（签字）：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default" w:ascii="Times New Roman" w:hAnsi="Times New Roman" w:eastAsia="方正仿宋_GBK" w:cs="Times New Roman"/>
          <w:i w:val="0"/>
          <w:iCs w:val="0"/>
          <w:color w:val="000000"/>
          <w:kern w:val="0"/>
          <w:sz w:val="22"/>
          <w:szCs w:val="22"/>
          <w:u w:val="none"/>
          <w:lang w:val="en-US" w:eastAsia="zh-CN" w:bidi="ar"/>
        </w:rPr>
      </w:pPr>
      <w:r>
        <w:rPr>
          <w:rFonts w:hint="eastAsia" w:ascii="Times New Roman" w:hAnsi="Times New Roman" w:eastAsia="方正仿宋_GBK" w:cs="Times New Roman"/>
          <w:i w:val="0"/>
          <w:iCs w:val="0"/>
          <w:color w:val="000000"/>
          <w:kern w:val="0"/>
          <w:sz w:val="22"/>
          <w:szCs w:val="22"/>
          <w:u w:val="none"/>
          <w:lang w:val="en-US" w:eastAsia="zh-CN" w:bidi="ar"/>
        </w:rPr>
        <w:t>日      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Segoe Print"/>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A611DE"/>
    <w:rsid w:val="1FBF1FD3"/>
    <w:rsid w:val="2142329E"/>
    <w:rsid w:val="33F96E6E"/>
    <w:rsid w:val="54E234C0"/>
    <w:rsid w:val="5AC348F3"/>
    <w:rsid w:val="5BD34823"/>
    <w:rsid w:val="70AB4B87"/>
    <w:rsid w:val="78475632"/>
    <w:rsid w:val="7B2C4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jc w:val="center"/>
      <w:outlineLvl w:val="1"/>
    </w:pPr>
    <w:rPr>
      <w:rFonts w:ascii="KaiTi_GB2312" w:eastAsia="KaiTi_GB2312"/>
      <w:b/>
      <w:bCs/>
      <w:sz w:val="18"/>
      <w:lang w:eastAsia="en-US"/>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2025-03-04T04:38:00Z</dcterms:created>
  <dc:creator>Administrator</dc:creator>
  <cp:lastModifiedBy>李想</cp:lastModifiedBy>
  <dcterms:modified xsi:type="dcterms:W3CDTF">2025-03-18T01:50:51Z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KSOTemplateDocerSaveRecord">
    <vt:lpwstr>eyJoZGlkIjoiZTdkMTlkYjBlZDc0ZWMyZTVjOTJiMWFkMjFhZDExNTUiLCJ1c2VySWQiOiI5Njk1OTIxMjEifQ==</vt:lpwstr>
  </property>
  <property fmtid="{D5CDD505-2E9C-101B-9397-08002B2CF9AE}" pid="4" name="ICV">
    <vt:lpwstr>8B53917E30394487B2FF363EE7C60397_12</vt:lpwstr>
  </property>
</Properties>
</file>